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40225" w14:textId="77777777" w:rsidR="00ED7529" w:rsidRDefault="00ED7529">
      <w:pPr>
        <w:pStyle w:val="ListParagraph"/>
        <w:ind w:left="360"/>
        <w:jc w:val="center"/>
        <w:rPr>
          <w:rFonts w:ascii="Times New Roman" w:hAnsi="Times New Roman"/>
          <w:sz w:val="24"/>
          <w:szCs w:val="24"/>
        </w:rPr>
      </w:pPr>
    </w:p>
    <w:p w14:paraId="133306A2" w14:textId="77777777" w:rsidR="00ED7529" w:rsidRDefault="00ED7529">
      <w:pPr>
        <w:pStyle w:val="ListParagraph"/>
        <w:ind w:left="360"/>
        <w:jc w:val="center"/>
        <w:rPr>
          <w:rFonts w:ascii="Times New Roman" w:hAnsi="Times New Roman"/>
          <w:sz w:val="24"/>
          <w:szCs w:val="24"/>
        </w:rPr>
      </w:pPr>
    </w:p>
    <w:p w14:paraId="27922961" w14:textId="77777777" w:rsidR="00ED7529" w:rsidRDefault="00ED7529">
      <w:pPr>
        <w:pStyle w:val="ListParagraph"/>
        <w:ind w:left="360"/>
        <w:jc w:val="center"/>
        <w:rPr>
          <w:rFonts w:ascii="Times New Roman" w:hAnsi="Times New Roman"/>
          <w:sz w:val="24"/>
          <w:szCs w:val="24"/>
        </w:rPr>
      </w:pPr>
    </w:p>
    <w:p w14:paraId="2D4A2E61" w14:textId="77777777" w:rsidR="00ED7529" w:rsidRDefault="00ED7529">
      <w:pPr>
        <w:pStyle w:val="ListParagraph"/>
        <w:ind w:left="360"/>
        <w:jc w:val="center"/>
        <w:rPr>
          <w:rFonts w:ascii="Times New Roman" w:hAnsi="Times New Roman"/>
          <w:sz w:val="24"/>
          <w:szCs w:val="24"/>
        </w:rPr>
      </w:pPr>
    </w:p>
    <w:p w14:paraId="11E2054D" w14:textId="69095555" w:rsidR="00ED7529" w:rsidRDefault="00A33FFE">
      <w:pPr>
        <w:pStyle w:val="ListParagraph"/>
        <w:ind w:left="360"/>
        <w:rPr>
          <w:rFonts w:ascii="Times New Roman" w:hAnsi="Times New Roman"/>
          <w:sz w:val="24"/>
          <w:szCs w:val="24"/>
        </w:rPr>
      </w:pPr>
      <w:r>
        <w:rPr>
          <w:rFonts w:ascii="Times New Roman" w:hAnsi="Times New Roman"/>
          <w:sz w:val="24"/>
          <w:szCs w:val="24"/>
        </w:rPr>
        <w:t xml:space="preserve">[word count: </w:t>
      </w:r>
      <w:r w:rsidR="00CE5CDD">
        <w:rPr>
          <w:rFonts w:ascii="Times New Roman" w:hAnsi="Times New Roman"/>
          <w:sz w:val="24"/>
          <w:szCs w:val="24"/>
        </w:rPr>
        <w:t>930</w:t>
      </w:r>
      <w:r>
        <w:rPr>
          <w:rFonts w:ascii="Times New Roman" w:hAnsi="Times New Roman"/>
          <w:sz w:val="24"/>
          <w:szCs w:val="24"/>
        </w:rPr>
        <w:t>]</w:t>
      </w:r>
    </w:p>
    <w:p w14:paraId="26F20815" w14:textId="77777777" w:rsidR="00ED7529" w:rsidRDefault="00ED7529">
      <w:pPr>
        <w:pStyle w:val="ListParagraph"/>
        <w:ind w:left="360"/>
        <w:jc w:val="center"/>
        <w:rPr>
          <w:rFonts w:ascii="Times New Roman" w:hAnsi="Times New Roman"/>
          <w:sz w:val="24"/>
          <w:szCs w:val="24"/>
        </w:rPr>
      </w:pPr>
    </w:p>
    <w:p w14:paraId="2E2CCE71" w14:textId="77777777" w:rsidR="00ED7529" w:rsidRDefault="00ED7529">
      <w:pPr>
        <w:pStyle w:val="ListParagraph"/>
        <w:ind w:left="360"/>
        <w:rPr>
          <w:rFonts w:ascii="Times New Roman" w:hAnsi="Times New Roman"/>
          <w:sz w:val="24"/>
          <w:szCs w:val="24"/>
        </w:rPr>
      </w:pPr>
    </w:p>
    <w:p w14:paraId="07F8A377" w14:textId="77777777" w:rsidR="00ED7529" w:rsidRDefault="00A33FFE">
      <w:pPr>
        <w:pStyle w:val="ListParagraph"/>
        <w:ind w:left="360"/>
        <w:jc w:val="center"/>
        <w:rPr>
          <w:rFonts w:ascii="Times New Roman" w:hAnsi="Times New Roman"/>
          <w:b/>
          <w:sz w:val="24"/>
          <w:szCs w:val="24"/>
        </w:rPr>
      </w:pPr>
      <w:r>
        <w:rPr>
          <w:rFonts w:ascii="Times New Roman" w:hAnsi="Times New Roman"/>
          <w:b/>
          <w:sz w:val="24"/>
          <w:szCs w:val="24"/>
        </w:rPr>
        <w:t xml:space="preserve">The Silver Lining of Lease Accounting: What Organizations Should Know </w:t>
      </w:r>
    </w:p>
    <w:p w14:paraId="68A3BA9C" w14:textId="77777777" w:rsidR="00ED7529" w:rsidRDefault="00A33FFE">
      <w:pPr>
        <w:pStyle w:val="ListParagraph"/>
        <w:ind w:left="360"/>
        <w:jc w:val="center"/>
        <w:rPr>
          <w:rFonts w:ascii="Times New Roman" w:hAnsi="Times New Roman"/>
          <w:b/>
          <w:sz w:val="24"/>
          <w:szCs w:val="24"/>
        </w:rPr>
      </w:pPr>
      <w:r>
        <w:rPr>
          <w:rFonts w:ascii="Times New Roman" w:hAnsi="Times New Roman"/>
          <w:b/>
          <w:sz w:val="24"/>
          <w:szCs w:val="24"/>
        </w:rPr>
        <w:t xml:space="preserve">About the New Standard </w:t>
      </w:r>
    </w:p>
    <w:p w14:paraId="6C3ADD38" w14:textId="77777777" w:rsidR="00ED7529" w:rsidRDefault="00A33FFE">
      <w:pPr>
        <w:jc w:val="center"/>
        <w:rPr>
          <w:rFonts w:ascii="Times New Roman" w:hAnsi="Times New Roman"/>
          <w:bCs/>
          <w:sz w:val="24"/>
          <w:szCs w:val="24"/>
        </w:rPr>
      </w:pPr>
      <w:r>
        <w:rPr>
          <w:rFonts w:ascii="Times New Roman" w:hAnsi="Times New Roman"/>
          <w:bCs/>
          <w:sz w:val="24"/>
          <w:szCs w:val="24"/>
        </w:rPr>
        <w:t>By Ralph Petta</w:t>
      </w:r>
    </w:p>
    <w:p w14:paraId="2945926C" w14:textId="77777777" w:rsidR="00ED7529" w:rsidRDefault="00A33FFE">
      <w:pPr>
        <w:pStyle w:val="ListParagraph"/>
        <w:ind w:left="360"/>
        <w:jc w:val="center"/>
        <w:rPr>
          <w:rFonts w:ascii="Times New Roman" w:hAnsi="Times New Roman"/>
          <w:b/>
          <w:sz w:val="24"/>
          <w:szCs w:val="24"/>
        </w:rPr>
      </w:pPr>
      <w:r>
        <w:rPr>
          <w:rFonts w:ascii="Times New Roman" w:hAnsi="Times New Roman"/>
          <w:sz w:val="24"/>
          <w:szCs w:val="24"/>
        </w:rPr>
        <w:t>President and CEO, Equipment Leasing and Finance Association</w:t>
      </w:r>
    </w:p>
    <w:p w14:paraId="6D0F146B" w14:textId="77777777" w:rsidR="00ED7529" w:rsidRDefault="00ED7529">
      <w:pPr>
        <w:pStyle w:val="ListParagraph"/>
        <w:ind w:left="360"/>
        <w:rPr>
          <w:rFonts w:ascii="Times New Roman" w:hAnsi="Times New Roman"/>
          <w:sz w:val="24"/>
          <w:szCs w:val="24"/>
        </w:rPr>
      </w:pPr>
    </w:p>
    <w:p w14:paraId="768F4F3E" w14:textId="46AC35A2" w:rsidR="00ED7529" w:rsidRDefault="00A33FFE">
      <w:pPr>
        <w:pStyle w:val="ListParagraph"/>
        <w:spacing w:line="360" w:lineRule="auto"/>
        <w:ind w:left="0"/>
        <w:rPr>
          <w:rFonts w:ascii="Times New Roman" w:hAnsi="Times New Roman"/>
          <w:sz w:val="24"/>
          <w:szCs w:val="24"/>
        </w:rPr>
      </w:pPr>
      <w:r>
        <w:rPr>
          <w:rFonts w:ascii="Times New Roman" w:hAnsi="Times New Roman"/>
          <w:sz w:val="24"/>
          <w:szCs w:val="24"/>
        </w:rPr>
        <w:tab/>
        <w:t xml:space="preserve">The </w:t>
      </w:r>
      <w:r w:rsidR="00E14BCE">
        <w:rPr>
          <w:rFonts w:ascii="Times New Roman" w:hAnsi="Times New Roman"/>
          <w:sz w:val="24"/>
          <w:szCs w:val="24"/>
        </w:rPr>
        <w:t xml:space="preserve">effective dates for </w:t>
      </w:r>
      <w:r>
        <w:rPr>
          <w:rFonts w:ascii="Times New Roman" w:hAnsi="Times New Roman"/>
          <w:sz w:val="24"/>
          <w:szCs w:val="24"/>
        </w:rPr>
        <w:t xml:space="preserve">new rules for lease accounting approved by the Financial Accounting Standards Board (FASB) </w:t>
      </w:r>
      <w:r w:rsidR="00E14BCE">
        <w:rPr>
          <w:rFonts w:ascii="Times New Roman" w:hAnsi="Times New Roman"/>
          <w:sz w:val="24"/>
          <w:szCs w:val="24"/>
        </w:rPr>
        <w:t xml:space="preserve">have been delayed </w:t>
      </w:r>
      <w:r w:rsidR="00C07E6C">
        <w:rPr>
          <w:rFonts w:ascii="Times New Roman" w:hAnsi="Times New Roman"/>
          <w:sz w:val="24"/>
          <w:szCs w:val="24"/>
        </w:rPr>
        <w:t xml:space="preserve">to </w:t>
      </w:r>
      <w:r>
        <w:rPr>
          <w:rFonts w:ascii="Times New Roman" w:hAnsi="Times New Roman"/>
          <w:sz w:val="24"/>
          <w:szCs w:val="24"/>
        </w:rPr>
        <w:t xml:space="preserve">go into effect for financial periods starting </w:t>
      </w:r>
      <w:r w:rsidR="00CE5CDD">
        <w:rPr>
          <w:rFonts w:ascii="Times New Roman" w:hAnsi="Times New Roman"/>
          <w:sz w:val="24"/>
          <w:szCs w:val="24"/>
        </w:rPr>
        <w:t>in 2019</w:t>
      </w:r>
      <w:r>
        <w:rPr>
          <w:rFonts w:ascii="Times New Roman" w:hAnsi="Times New Roman"/>
          <w:sz w:val="24"/>
          <w:szCs w:val="24"/>
        </w:rPr>
        <w:t xml:space="preserve"> for public companies, </w:t>
      </w:r>
      <w:r w:rsidR="00CE5CDD">
        <w:rPr>
          <w:rFonts w:ascii="Times New Roman" w:hAnsi="Times New Roman"/>
          <w:sz w:val="24"/>
          <w:szCs w:val="24"/>
        </w:rPr>
        <w:t xml:space="preserve">and in </w:t>
      </w:r>
      <w:r w:rsidR="00E14BCE">
        <w:rPr>
          <w:rFonts w:ascii="Times New Roman" w:hAnsi="Times New Roman"/>
          <w:sz w:val="24"/>
          <w:szCs w:val="24"/>
        </w:rPr>
        <w:t xml:space="preserve">2021 </w:t>
      </w:r>
      <w:r>
        <w:rPr>
          <w:rFonts w:ascii="Times New Roman" w:hAnsi="Times New Roman"/>
          <w:sz w:val="24"/>
          <w:szCs w:val="24"/>
        </w:rPr>
        <w:t>for private companies</w:t>
      </w:r>
      <w:r w:rsidR="00C07E6C">
        <w:rPr>
          <w:rFonts w:ascii="Times New Roman" w:hAnsi="Times New Roman"/>
          <w:sz w:val="24"/>
          <w:szCs w:val="24"/>
        </w:rPr>
        <w:t xml:space="preserve"> and private non-for-profits</w:t>
      </w:r>
      <w:r>
        <w:rPr>
          <w:rFonts w:ascii="Times New Roman" w:hAnsi="Times New Roman"/>
          <w:sz w:val="24"/>
          <w:szCs w:val="24"/>
        </w:rPr>
        <w:t>, and with a modified application for any other financial period presented. As is often the case with change, many organizations transitioning to the new accounting standard, known as Accounting Standards Codification Topic 842 (ASC 842), have questions and concerns about how it will affect their current leases and future equipment financing decisions. An examination of the impacts of ASC 842 shows that not only are many of the lease accounting changes relatively neutral, there is actually a silver lining with numerous positive impacts.</w:t>
      </w:r>
      <w:r>
        <w:rPr>
          <w:rFonts w:ascii="Times New Roman" w:hAnsi="Times New Roman"/>
          <w:sz w:val="24"/>
          <w:szCs w:val="24"/>
        </w:rPr>
        <w:tab/>
      </w:r>
    </w:p>
    <w:p w14:paraId="72DFFFD2" w14:textId="77777777" w:rsidR="00ED7529" w:rsidRDefault="00ED7529">
      <w:pPr>
        <w:pStyle w:val="ListParagraph"/>
        <w:spacing w:line="360" w:lineRule="auto"/>
        <w:ind w:left="0"/>
        <w:rPr>
          <w:rFonts w:ascii="Times New Roman" w:hAnsi="Times New Roman"/>
          <w:b/>
          <w:sz w:val="24"/>
          <w:szCs w:val="24"/>
        </w:rPr>
      </w:pPr>
    </w:p>
    <w:p w14:paraId="166616B3" w14:textId="77777777" w:rsidR="00ED7529" w:rsidRDefault="00A33FFE">
      <w:pPr>
        <w:pStyle w:val="ListParagraph"/>
        <w:spacing w:line="360" w:lineRule="auto"/>
        <w:ind w:left="0"/>
        <w:rPr>
          <w:rFonts w:ascii="Times New Roman" w:hAnsi="Times New Roman"/>
          <w:b/>
          <w:sz w:val="24"/>
          <w:szCs w:val="24"/>
        </w:rPr>
      </w:pPr>
      <w:r>
        <w:rPr>
          <w:rFonts w:ascii="Times New Roman" w:hAnsi="Times New Roman"/>
          <w:b/>
          <w:sz w:val="24"/>
          <w:szCs w:val="24"/>
        </w:rPr>
        <w:t>The Upside of Lease Accounting Changes</w:t>
      </w:r>
    </w:p>
    <w:p w14:paraId="65818ACC" w14:textId="57927326" w:rsidR="00ED7529" w:rsidRDefault="00A33FFE">
      <w:pPr>
        <w:spacing w:line="360" w:lineRule="auto"/>
        <w:rPr>
          <w:rFonts w:ascii="Times New Roman" w:hAnsi="Times New Roman"/>
          <w:sz w:val="24"/>
          <w:szCs w:val="24"/>
        </w:rPr>
      </w:pPr>
      <w:r>
        <w:rPr>
          <w:rFonts w:ascii="Times New Roman" w:hAnsi="Times New Roman"/>
          <w:sz w:val="24"/>
          <w:szCs w:val="24"/>
        </w:rPr>
        <w:tab/>
        <w:t xml:space="preserve"> While ASC 842 will initially require new processes and reporting, the benefits of leasing remain and are perhaps improved because of other developments. Combined with changes in the U.S. tax code, lease financing, with its wide range of inherent advantages, continue</w:t>
      </w:r>
      <w:r w:rsidR="00BF70F2">
        <w:rPr>
          <w:rFonts w:ascii="Times New Roman" w:hAnsi="Times New Roman"/>
          <w:sz w:val="24"/>
          <w:szCs w:val="24"/>
        </w:rPr>
        <w:t>s</w:t>
      </w:r>
      <w:r>
        <w:rPr>
          <w:rFonts w:ascii="Times New Roman" w:hAnsi="Times New Roman"/>
          <w:sz w:val="24"/>
          <w:szCs w:val="24"/>
        </w:rPr>
        <w:t xml:space="preserve"> to be a beneficial option for equipment acquisitions.</w:t>
      </w:r>
    </w:p>
    <w:p w14:paraId="35B68FAC" w14:textId="77777777" w:rsidR="00ED7529" w:rsidRDefault="00A33FFE">
      <w:pPr>
        <w:spacing w:line="360" w:lineRule="auto"/>
        <w:rPr>
          <w:rFonts w:ascii="Times New Roman" w:hAnsi="Times New Roman"/>
          <w:sz w:val="24"/>
          <w:szCs w:val="24"/>
        </w:rPr>
      </w:pPr>
      <w:r>
        <w:rPr>
          <w:rFonts w:ascii="Times New Roman" w:hAnsi="Times New Roman"/>
          <w:sz w:val="24"/>
          <w:szCs w:val="24"/>
        </w:rPr>
        <w:tab/>
        <w:t xml:space="preserve">ASC 842 is required to be implemented for existing leases, but it provides lessees with a number of ‘practical expedients’ to make the transition less burdensome. </w:t>
      </w:r>
      <w:r>
        <w:rPr>
          <w:rFonts w:ascii="Times New Roman" w:eastAsia="Times New Roman" w:hAnsi="Times New Roman"/>
          <w:sz w:val="24"/>
          <w:szCs w:val="24"/>
        </w:rPr>
        <w:t>If elected, a practical expedient must be applied to all leases and agreements.</w:t>
      </w:r>
    </w:p>
    <w:p w14:paraId="37B291FA" w14:textId="77777777" w:rsidR="00ED7529" w:rsidRDefault="00A33FFE">
      <w:pPr>
        <w:spacing w:line="360" w:lineRule="auto"/>
        <w:rPr>
          <w:rFonts w:ascii="Times New Roman" w:hAnsi="Times New Roman"/>
          <w:sz w:val="24"/>
          <w:szCs w:val="24"/>
        </w:rPr>
      </w:pPr>
      <w:r>
        <w:rPr>
          <w:rFonts w:ascii="Times New Roman" w:hAnsi="Times New Roman"/>
          <w:sz w:val="24"/>
          <w:szCs w:val="24"/>
        </w:rPr>
        <w:tab/>
        <w:t xml:space="preserve"> The FASB has specifically stated that the Lease Liabilities created by capitalizing leases should not be considered debt by most financial institutions. In fact, now that Lease Liabilities will be on the lessee’s balance sheets, the rating agencies will no longer have to calculate it on their own or guess at how much to capitalize; it is now clearly and more accurately measured for them under the new standard.</w:t>
      </w:r>
    </w:p>
    <w:p w14:paraId="5896EB27" w14:textId="77777777" w:rsidR="00ED7529" w:rsidRDefault="00A33FFE">
      <w:pPr>
        <w:spacing w:line="360" w:lineRule="auto"/>
        <w:rPr>
          <w:rFonts w:ascii="Times New Roman" w:hAnsi="Times New Roman"/>
          <w:sz w:val="24"/>
          <w:szCs w:val="24"/>
        </w:rPr>
      </w:pPr>
      <w:r>
        <w:rPr>
          <w:rFonts w:ascii="Times New Roman" w:hAnsi="Times New Roman"/>
          <w:sz w:val="24"/>
          <w:szCs w:val="24"/>
        </w:rPr>
        <w:lastRenderedPageBreak/>
        <w:tab/>
        <w:t xml:space="preserve">The new rules have no impact on the income statement. There should be no effect on debt covenants. The rules for classifying whether a new contract is a Capital (Finance) lease or an Operating lease are virtually the same as before under generally accepted accounting principles (GAAP) except that an Operating lease will now be a </w:t>
      </w:r>
      <w:r>
        <w:rPr>
          <w:rFonts w:ascii="Times New Roman" w:hAnsi="Times New Roman"/>
          <w:i/>
          <w:sz w:val="24"/>
          <w:szCs w:val="24"/>
        </w:rPr>
        <w:t>Capitalized Operating lease</w:t>
      </w:r>
      <w:r>
        <w:rPr>
          <w:rFonts w:ascii="Times New Roman" w:hAnsi="Times New Roman"/>
          <w:sz w:val="24"/>
          <w:szCs w:val="24"/>
        </w:rPr>
        <w:t xml:space="preserve">. Although an Operating lease will now be capitalized, the capitalized asset cost </w:t>
      </w:r>
      <w:proofErr w:type="gramStart"/>
      <w:r>
        <w:rPr>
          <w:rFonts w:ascii="Times New Roman" w:hAnsi="Times New Roman"/>
          <w:sz w:val="24"/>
          <w:szCs w:val="24"/>
        </w:rPr>
        <w:t>by definition will</w:t>
      </w:r>
      <w:proofErr w:type="gramEnd"/>
      <w:r>
        <w:rPr>
          <w:rFonts w:ascii="Times New Roman" w:hAnsi="Times New Roman"/>
          <w:sz w:val="24"/>
          <w:szCs w:val="24"/>
        </w:rPr>
        <w:t xml:space="preserve"> be </w:t>
      </w:r>
      <w:r>
        <w:rPr>
          <w:rFonts w:ascii="Times New Roman" w:hAnsi="Times New Roman"/>
          <w:i/>
          <w:sz w:val="24"/>
          <w:szCs w:val="24"/>
        </w:rPr>
        <w:t>lower</w:t>
      </w:r>
      <w:r>
        <w:rPr>
          <w:rFonts w:ascii="Times New Roman" w:hAnsi="Times New Roman"/>
          <w:sz w:val="24"/>
          <w:szCs w:val="24"/>
        </w:rPr>
        <w:t xml:space="preserve"> compared to a loan or cash purchase resulting in a lower asset against which Return on Assets would be measured.  </w:t>
      </w:r>
    </w:p>
    <w:p w14:paraId="30C80E03" w14:textId="77777777" w:rsidR="00ED7529" w:rsidRDefault="00A33FFE">
      <w:pPr>
        <w:spacing w:line="360" w:lineRule="auto"/>
        <w:rPr>
          <w:rFonts w:ascii="Times New Roman" w:hAnsi="Times New Roman"/>
          <w:sz w:val="24"/>
          <w:szCs w:val="24"/>
        </w:rPr>
      </w:pPr>
      <w:r>
        <w:rPr>
          <w:rFonts w:ascii="Times New Roman" w:hAnsi="Times New Roman"/>
          <w:sz w:val="24"/>
          <w:szCs w:val="24"/>
        </w:rPr>
        <w:tab/>
        <w:t xml:space="preserve">The business processes required to accommodate ASC 842 also have the potential to reap unexpected advantages. Better information and controls can help enable better tracking and asset management, avoid </w:t>
      </w:r>
      <w:proofErr w:type="gramStart"/>
      <w:r>
        <w:rPr>
          <w:rFonts w:ascii="Times New Roman" w:hAnsi="Times New Roman"/>
          <w:sz w:val="24"/>
          <w:szCs w:val="24"/>
        </w:rPr>
        <w:t>redundancies</w:t>
      </w:r>
      <w:proofErr w:type="gramEnd"/>
      <w:r>
        <w:rPr>
          <w:rFonts w:ascii="Times New Roman" w:hAnsi="Times New Roman"/>
          <w:sz w:val="24"/>
          <w:szCs w:val="24"/>
        </w:rPr>
        <w:t xml:space="preserve"> and enable the negotiation of better lease terms throughout the organization.</w:t>
      </w:r>
    </w:p>
    <w:p w14:paraId="05CE5093" w14:textId="77777777" w:rsidR="00ED7529" w:rsidRDefault="00ED7529">
      <w:pPr>
        <w:pStyle w:val="ListParagraph"/>
        <w:spacing w:line="360" w:lineRule="auto"/>
        <w:ind w:left="0"/>
        <w:rPr>
          <w:rFonts w:ascii="Times New Roman" w:hAnsi="Times New Roman"/>
          <w:sz w:val="24"/>
          <w:szCs w:val="24"/>
        </w:rPr>
      </w:pPr>
    </w:p>
    <w:p w14:paraId="56F5D5D1" w14:textId="77777777" w:rsidR="00ED7529" w:rsidRDefault="00A33FFE">
      <w:pPr>
        <w:pStyle w:val="ListParagraph"/>
        <w:spacing w:line="360" w:lineRule="auto"/>
        <w:ind w:left="0"/>
        <w:rPr>
          <w:rFonts w:ascii="Times New Roman" w:hAnsi="Times New Roman"/>
          <w:b/>
          <w:sz w:val="24"/>
          <w:szCs w:val="24"/>
        </w:rPr>
      </w:pPr>
      <w:r>
        <w:rPr>
          <w:rFonts w:ascii="Times New Roman" w:hAnsi="Times New Roman"/>
          <w:b/>
          <w:sz w:val="24"/>
          <w:szCs w:val="24"/>
        </w:rPr>
        <w:t>Tax Reform Benefits for Financing</w:t>
      </w:r>
    </w:p>
    <w:p w14:paraId="30189888" w14:textId="77777777" w:rsidR="00ED7529" w:rsidRDefault="00A33FFE">
      <w:pPr>
        <w:spacing w:line="360" w:lineRule="auto"/>
        <w:rPr>
          <w:rFonts w:ascii="Times New Roman" w:hAnsi="Times New Roman"/>
          <w:sz w:val="24"/>
          <w:szCs w:val="24"/>
        </w:rPr>
      </w:pPr>
      <w:r>
        <w:rPr>
          <w:rFonts w:ascii="Times New Roman" w:hAnsi="Times New Roman"/>
          <w:sz w:val="24"/>
          <w:szCs w:val="24"/>
        </w:rPr>
        <w:tab/>
        <w:t xml:space="preserve">Tax reform passed at the end of 2017, known as the Tax Cuts and Jobs Act (TCJA), introduced many changes that organizations should consider when making equipment financing decisions. TCJA provides more reasons now than previously for leasing or financing property using tax-oriented financing structures. The pure complexity of the interrelated rules in TCJA by themselves may lead some organizations to lease. </w:t>
      </w:r>
    </w:p>
    <w:p w14:paraId="3AA05892" w14:textId="77777777" w:rsidR="00ED7529" w:rsidRDefault="00A33FFE">
      <w:pPr>
        <w:spacing w:line="360" w:lineRule="auto"/>
        <w:rPr>
          <w:rFonts w:ascii="Times New Roman" w:hAnsi="Times New Roman"/>
          <w:sz w:val="24"/>
          <w:szCs w:val="24"/>
        </w:rPr>
      </w:pPr>
      <w:r>
        <w:rPr>
          <w:rFonts w:ascii="Times New Roman" w:hAnsi="Times New Roman"/>
          <w:sz w:val="24"/>
          <w:szCs w:val="24"/>
        </w:rPr>
        <w:tab/>
        <w:t xml:space="preserve">Under TCJA current deductibility of interest expense is limited to 30 percent of the tax version of EBITDA, calculated as Earnings Before Interest, Taxes, (tax) Depreciation and Amortization multiplied by 30 percent. In a few </w:t>
      </w:r>
      <w:proofErr w:type="gramStart"/>
      <w:r>
        <w:rPr>
          <w:rFonts w:ascii="Times New Roman" w:hAnsi="Times New Roman"/>
          <w:sz w:val="24"/>
          <w:szCs w:val="24"/>
        </w:rPr>
        <w:t>years</w:t>
      </w:r>
      <w:proofErr w:type="gramEnd"/>
      <w:r>
        <w:rPr>
          <w:rFonts w:ascii="Times New Roman" w:hAnsi="Times New Roman"/>
          <w:sz w:val="24"/>
          <w:szCs w:val="24"/>
        </w:rPr>
        <w:t xml:space="preserve"> the limitation will be further reduced to 30 percent of tax EBIT, an even lower number particularly given the high rate of tax depreciation. Additionally, U.S. subsidiaries of multinational parents will also have to contend with BEAT (Base Erosion Anti-</w:t>
      </w:r>
      <w:proofErr w:type="gramStart"/>
      <w:r>
        <w:rPr>
          <w:rFonts w:ascii="Times New Roman" w:hAnsi="Times New Roman"/>
          <w:sz w:val="24"/>
          <w:szCs w:val="24"/>
        </w:rPr>
        <w:t>abuse</w:t>
      </w:r>
      <w:proofErr w:type="gramEnd"/>
      <w:r>
        <w:rPr>
          <w:rFonts w:ascii="Times New Roman" w:hAnsi="Times New Roman"/>
          <w:sz w:val="24"/>
          <w:szCs w:val="24"/>
        </w:rPr>
        <w:t xml:space="preserve"> Tax), which forces them to further examine the extent of their intercompany borrowing. Leasing helps lessees avoid both the interest and BEAT limitations because rent deductions remain unrestricted compared to interest payments.   </w:t>
      </w:r>
    </w:p>
    <w:p w14:paraId="3472B799" w14:textId="7B564684" w:rsidR="00ED7529" w:rsidRDefault="00A33FFE">
      <w:pPr>
        <w:spacing w:line="360" w:lineRule="auto"/>
        <w:rPr>
          <w:rFonts w:ascii="Times New Roman" w:hAnsi="Times New Roman"/>
          <w:sz w:val="24"/>
          <w:szCs w:val="24"/>
        </w:rPr>
      </w:pPr>
      <w:r>
        <w:rPr>
          <w:rFonts w:ascii="Times New Roman" w:hAnsi="Times New Roman"/>
          <w:sz w:val="24"/>
          <w:szCs w:val="24"/>
        </w:rPr>
        <w:tab/>
        <w:t>Leasing allows companies without the ability to efficiently use 100 percent bonus depreciation to gain the benefits of it through a reduced lease rate when the lessor can claim the 100 percent bonus depreciation</w:t>
      </w:r>
      <w:r>
        <w:rPr>
          <w:rFonts w:ascii="Times New Roman" w:hAnsi="Times New Roman"/>
          <w:i/>
          <w:sz w:val="24"/>
          <w:szCs w:val="24"/>
        </w:rPr>
        <w:t xml:space="preserve">. </w:t>
      </w:r>
    </w:p>
    <w:p w14:paraId="2FFA4B44" w14:textId="77777777" w:rsidR="00ED7529" w:rsidRDefault="00ED7529">
      <w:pPr>
        <w:spacing w:line="360" w:lineRule="auto"/>
        <w:rPr>
          <w:rFonts w:ascii="Times New Roman" w:hAnsi="Times New Roman"/>
          <w:sz w:val="24"/>
          <w:szCs w:val="24"/>
        </w:rPr>
      </w:pPr>
    </w:p>
    <w:p w14:paraId="30262BA6" w14:textId="77777777" w:rsidR="00ED7529" w:rsidRDefault="00A33FFE">
      <w:pPr>
        <w:spacing w:line="360" w:lineRule="auto"/>
        <w:rPr>
          <w:rFonts w:ascii="Times New Roman" w:hAnsi="Times New Roman"/>
          <w:b/>
          <w:sz w:val="24"/>
          <w:szCs w:val="24"/>
        </w:rPr>
      </w:pPr>
      <w:r>
        <w:rPr>
          <w:rFonts w:ascii="Times New Roman" w:hAnsi="Times New Roman"/>
          <w:b/>
          <w:sz w:val="24"/>
          <w:szCs w:val="24"/>
        </w:rPr>
        <w:t>Benefits of Leasing Continue Undiminished</w:t>
      </w:r>
    </w:p>
    <w:p w14:paraId="43653EC5" w14:textId="77777777" w:rsidR="00ED7529" w:rsidRDefault="00A33FFE">
      <w:pPr>
        <w:spacing w:line="360" w:lineRule="auto"/>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color w:val="000000" w:themeColor="text1"/>
          <w:sz w:val="24"/>
          <w:szCs w:val="24"/>
        </w:rPr>
        <w:t>A</w:t>
      </w:r>
      <w:r>
        <w:rPr>
          <w:rFonts w:ascii="Times New Roman" w:hAnsi="Times New Roman"/>
          <w:color w:val="000000"/>
          <w:sz w:val="24"/>
          <w:szCs w:val="24"/>
        </w:rPr>
        <w:t xml:space="preserve"> majority of</w:t>
      </w:r>
      <w:proofErr w:type="gramEnd"/>
      <w:r>
        <w:rPr>
          <w:rFonts w:ascii="Times New Roman" w:hAnsi="Times New Roman"/>
          <w:color w:val="000000"/>
          <w:sz w:val="24"/>
          <w:szCs w:val="24"/>
        </w:rPr>
        <w:t xml:space="preserve"> U.S. businesses finance their equipment acquisitions, and the following long-standing reasons why they do remain intact </w:t>
      </w:r>
      <w:r>
        <w:rPr>
          <w:rFonts w:ascii="Times New Roman" w:hAnsi="Times New Roman"/>
          <w:sz w:val="24"/>
          <w:szCs w:val="24"/>
        </w:rPr>
        <w:t>under ASC 842:</w:t>
      </w:r>
    </w:p>
    <w:p w14:paraId="1E25DFA3" w14:textId="77777777" w:rsidR="00ED7529" w:rsidRDefault="00A33FFE">
      <w:pPr>
        <w:pStyle w:val="NormalWeb"/>
        <w:numPr>
          <w:ilvl w:val="0"/>
          <w:numId w:val="3"/>
        </w:numPr>
        <w:spacing w:before="0" w:beforeAutospacing="0" w:after="0" w:afterAutospacing="0"/>
      </w:pPr>
      <w:r>
        <w:t xml:space="preserve">Tax management – Leasing allows lessees to </w:t>
      </w:r>
      <w:proofErr w:type="gramStart"/>
      <w:r>
        <w:t>more efficiently manage</w:t>
      </w:r>
      <w:proofErr w:type="gramEnd"/>
      <w:r>
        <w:t xml:space="preserve"> some of their taxes; when they cannot utilize all the deductions, the lessors can and are able pass the benefits through via lower rates.    </w:t>
      </w:r>
    </w:p>
    <w:p w14:paraId="2E01426A" w14:textId="77777777" w:rsidR="00ED7529" w:rsidRDefault="00ED7529">
      <w:pPr>
        <w:pStyle w:val="NormalWeb"/>
        <w:spacing w:before="0" w:beforeAutospacing="0" w:after="0" w:afterAutospacing="0"/>
        <w:ind w:left="360"/>
      </w:pPr>
    </w:p>
    <w:p w14:paraId="015D99F4" w14:textId="77777777" w:rsidR="00ED7529" w:rsidRDefault="00A33FFE">
      <w:pPr>
        <w:pStyle w:val="NormalWeb"/>
        <w:numPr>
          <w:ilvl w:val="0"/>
          <w:numId w:val="3"/>
        </w:numPr>
        <w:spacing w:before="0" w:beforeAutospacing="0" w:after="0" w:afterAutospacing="0"/>
      </w:pPr>
      <w:r>
        <w:t>Finance 100%</w:t>
      </w:r>
      <w:r>
        <w:rPr>
          <w:b/>
        </w:rPr>
        <w:t xml:space="preserve"> - </w:t>
      </w:r>
      <w:r>
        <w:t xml:space="preserve">Arrange 100% financing of equipment, </w:t>
      </w:r>
      <w:proofErr w:type="gramStart"/>
      <w:r>
        <w:t>software</w:t>
      </w:r>
      <w:proofErr w:type="gramEnd"/>
      <w:r>
        <w:t xml:space="preserve"> and services with 0% down payment while still recording less than 100% on your balance sheet. </w:t>
      </w:r>
    </w:p>
    <w:p w14:paraId="7EE7D704" w14:textId="77777777" w:rsidR="00ED7529" w:rsidRDefault="00ED7529">
      <w:pPr>
        <w:pStyle w:val="NormalWeb"/>
        <w:spacing w:before="0" w:beforeAutospacing="0" w:after="0" w:afterAutospacing="0"/>
      </w:pPr>
    </w:p>
    <w:p w14:paraId="1F30A932" w14:textId="77777777" w:rsidR="00ED7529" w:rsidRDefault="00A33FFE">
      <w:pPr>
        <w:pStyle w:val="NormalWeb"/>
        <w:numPr>
          <w:ilvl w:val="0"/>
          <w:numId w:val="3"/>
        </w:numPr>
        <w:spacing w:before="0" w:beforeAutospacing="0" w:after="0" w:afterAutospacing="0"/>
      </w:pPr>
      <w:r>
        <w:t xml:space="preserve">Keep up-to-date and avoid residual value risk: Keep current with technology by acquiring more and better equipment compared to loan financing and avoid residual risk because the lessor assumes that risk. </w:t>
      </w:r>
    </w:p>
    <w:p w14:paraId="28D7A208" w14:textId="77777777" w:rsidR="00ED7529" w:rsidRDefault="00ED7529">
      <w:pPr>
        <w:pStyle w:val="NormalWeb"/>
        <w:spacing w:before="0" w:beforeAutospacing="0" w:after="0" w:afterAutospacing="0"/>
      </w:pPr>
    </w:p>
    <w:p w14:paraId="736FCF97" w14:textId="77777777" w:rsidR="00ED7529" w:rsidRDefault="00A33FFE">
      <w:pPr>
        <w:pStyle w:val="NormalWeb"/>
        <w:numPr>
          <w:ilvl w:val="0"/>
          <w:numId w:val="3"/>
        </w:numPr>
        <w:spacing w:before="0" w:beforeAutospacing="0" w:after="0" w:afterAutospacing="0"/>
      </w:pPr>
      <w:r>
        <w:t xml:space="preserve">Accelerate ROI/Improved ROA: Rather than capitalizing 100% of an asset, a capitalized lease is generally reported at a lesser amount.  </w:t>
      </w:r>
    </w:p>
    <w:p w14:paraId="237BC706" w14:textId="77777777" w:rsidR="00ED7529" w:rsidRDefault="00ED7529">
      <w:pPr>
        <w:pStyle w:val="ListParagraph"/>
      </w:pPr>
    </w:p>
    <w:p w14:paraId="5E8EEBB2" w14:textId="77777777" w:rsidR="00ED7529" w:rsidRDefault="00A33FFE">
      <w:pPr>
        <w:pStyle w:val="NormalWeb"/>
        <w:numPr>
          <w:ilvl w:val="0"/>
          <w:numId w:val="3"/>
        </w:numPr>
        <w:spacing w:before="0" w:beforeAutospacing="0" w:after="0" w:afterAutospacing="0"/>
      </w:pPr>
      <w:r>
        <w:t>Cash flow management - Make smaller more manageable and flexible payments while the equipment generates revenue.</w:t>
      </w:r>
    </w:p>
    <w:p w14:paraId="2BF5068C" w14:textId="77777777" w:rsidR="00ED7529" w:rsidRDefault="00ED7529">
      <w:pPr>
        <w:pStyle w:val="NormalWeb"/>
        <w:spacing w:before="0" w:beforeAutospacing="0" w:after="0" w:afterAutospacing="0"/>
      </w:pPr>
    </w:p>
    <w:p w14:paraId="7208FE80" w14:textId="77777777" w:rsidR="00ED7529" w:rsidRDefault="00A33FFE">
      <w:pPr>
        <w:pStyle w:val="NormalWeb"/>
        <w:numPr>
          <w:ilvl w:val="0"/>
          <w:numId w:val="3"/>
        </w:numPr>
        <w:spacing w:before="0" w:beforeAutospacing="0" w:after="0" w:afterAutospacing="0"/>
      </w:pPr>
      <w:r>
        <w:t>Benefit from bundling: Bundle the equipment, installation, maintenance and more into a single, easy-to-manage solution.</w:t>
      </w:r>
    </w:p>
    <w:p w14:paraId="5E1865F1" w14:textId="77777777" w:rsidR="00ED7529" w:rsidRDefault="00ED7529">
      <w:pPr>
        <w:pStyle w:val="NormalWeb"/>
        <w:spacing w:before="0" w:beforeAutospacing="0" w:after="0" w:afterAutospacing="0"/>
      </w:pPr>
    </w:p>
    <w:p w14:paraId="690BA8B0" w14:textId="77777777" w:rsidR="00ED7529" w:rsidRDefault="00A33FFE">
      <w:pPr>
        <w:pStyle w:val="NormalWeb"/>
        <w:numPr>
          <w:ilvl w:val="0"/>
          <w:numId w:val="3"/>
        </w:numPr>
        <w:spacing w:before="0" w:beforeAutospacing="0" w:after="0" w:afterAutospacing="0"/>
      </w:pPr>
      <w:r>
        <w:t xml:space="preserve">Save cash: Save limited cash for other areas of the business, such as expansion, improvements, </w:t>
      </w:r>
      <w:proofErr w:type="gramStart"/>
      <w:r>
        <w:t>marketing</w:t>
      </w:r>
      <w:proofErr w:type="gramEnd"/>
      <w:r>
        <w:t xml:space="preserve"> or R&amp;D.</w:t>
      </w:r>
    </w:p>
    <w:p w14:paraId="7F53557B" w14:textId="77777777" w:rsidR="00ED7529" w:rsidRDefault="00ED7529">
      <w:pPr>
        <w:pStyle w:val="NormalWeb"/>
        <w:spacing w:before="0" w:beforeAutospacing="0" w:after="0" w:afterAutospacing="0"/>
      </w:pPr>
    </w:p>
    <w:p w14:paraId="3B033EF4" w14:textId="77777777" w:rsidR="00ED7529" w:rsidRDefault="00A33FFE">
      <w:pPr>
        <w:pStyle w:val="NormalWeb"/>
        <w:numPr>
          <w:ilvl w:val="0"/>
          <w:numId w:val="3"/>
        </w:numPr>
        <w:spacing w:before="0" w:beforeAutospacing="0" w:after="0" w:afterAutospacing="0"/>
      </w:pPr>
      <w:r>
        <w:t>Outsource asset management: The equipment financing company can manage an organization’s equipment from delivery to disposal.</w:t>
      </w:r>
    </w:p>
    <w:p w14:paraId="0692E671" w14:textId="77777777" w:rsidR="00ED7529" w:rsidRDefault="00ED7529">
      <w:pPr>
        <w:pStyle w:val="NormalWeb"/>
        <w:spacing w:before="0" w:beforeAutospacing="0" w:after="0" w:afterAutospacing="0"/>
      </w:pPr>
    </w:p>
    <w:p w14:paraId="4C9F41AF" w14:textId="77777777" w:rsidR="00ED7529" w:rsidRDefault="00A33FFE">
      <w:pPr>
        <w:pStyle w:val="NormalWeb"/>
        <w:numPr>
          <w:ilvl w:val="0"/>
          <w:numId w:val="3"/>
        </w:numPr>
        <w:spacing w:before="0" w:beforeAutospacing="0" w:after="0" w:afterAutospacing="0"/>
      </w:pPr>
      <w:r>
        <w:t>Customize terms: Set customized payments to match cash flow and even seasonal income fluctuations.</w:t>
      </w:r>
    </w:p>
    <w:p w14:paraId="14A7BF1A" w14:textId="77777777" w:rsidR="00ED7529" w:rsidRDefault="00ED7529">
      <w:pPr>
        <w:pStyle w:val="NormalWeb"/>
        <w:spacing w:before="0" w:beforeAutospacing="0" w:after="0" w:afterAutospacing="0"/>
      </w:pPr>
    </w:p>
    <w:p w14:paraId="025B0AD6" w14:textId="77777777" w:rsidR="00ED7529" w:rsidRDefault="00A33FFE">
      <w:pPr>
        <w:pStyle w:val="NormalWeb"/>
        <w:numPr>
          <w:ilvl w:val="0"/>
          <w:numId w:val="3"/>
        </w:numPr>
        <w:spacing w:before="0" w:beforeAutospacing="0" w:after="0" w:afterAutospacing="0"/>
      </w:pPr>
      <w:r>
        <w:t xml:space="preserve">Hedge against inflation: Lock in rates with a lease to avoid future inflation. </w:t>
      </w:r>
    </w:p>
    <w:p w14:paraId="79BB64AB" w14:textId="77777777" w:rsidR="00ED7529" w:rsidRDefault="00ED7529">
      <w:pPr>
        <w:spacing w:line="360" w:lineRule="auto"/>
        <w:rPr>
          <w:rFonts w:ascii="Times New Roman" w:hAnsi="Times New Roman"/>
          <w:sz w:val="24"/>
          <w:szCs w:val="24"/>
        </w:rPr>
      </w:pPr>
    </w:p>
    <w:p w14:paraId="2511E56B" w14:textId="77777777" w:rsidR="00ED7529" w:rsidRDefault="00A33FFE">
      <w:pPr>
        <w:spacing w:line="360" w:lineRule="auto"/>
        <w:rPr>
          <w:rFonts w:ascii="Times New Roman" w:hAnsi="Times New Roman"/>
          <w:color w:val="000000" w:themeColor="text1"/>
          <w:sz w:val="24"/>
          <w:szCs w:val="24"/>
        </w:rPr>
      </w:pPr>
      <w:r>
        <w:rPr>
          <w:rFonts w:ascii="Times New Roman" w:hAnsi="Times New Roman"/>
          <w:sz w:val="24"/>
          <w:szCs w:val="24"/>
        </w:rPr>
        <w:tab/>
        <w:t xml:space="preserve">As organizations modify existing leases or </w:t>
      </w:r>
      <w:proofErr w:type="gramStart"/>
      <w:r>
        <w:rPr>
          <w:rFonts w:ascii="Times New Roman" w:hAnsi="Times New Roman"/>
          <w:sz w:val="24"/>
          <w:szCs w:val="24"/>
        </w:rPr>
        <w:t>enter into</w:t>
      </w:r>
      <w:proofErr w:type="gramEnd"/>
      <w:r>
        <w:rPr>
          <w:rFonts w:ascii="Times New Roman" w:hAnsi="Times New Roman"/>
          <w:sz w:val="24"/>
          <w:szCs w:val="24"/>
        </w:rPr>
        <w:t xml:space="preserve"> new leases or contracts, they will benefit from an understanding of all the implications of the new standard. </w:t>
      </w:r>
      <w:proofErr w:type="gramStart"/>
      <w:r>
        <w:rPr>
          <w:rFonts w:ascii="Times New Roman" w:hAnsi="Times New Roman"/>
          <w:sz w:val="24"/>
          <w:szCs w:val="24"/>
        </w:rPr>
        <w:t>It’s</w:t>
      </w:r>
      <w:proofErr w:type="gramEnd"/>
      <w:r>
        <w:rPr>
          <w:rFonts w:ascii="Times New Roman" w:hAnsi="Times New Roman"/>
          <w:sz w:val="24"/>
          <w:szCs w:val="24"/>
        </w:rPr>
        <w:t xml:space="preserve"> important to check with a professional tax advisor or accountant who can address the business’s particular situation. With adequate information and preparation to implement ASC 842, lessees can continue to reap the advantages of financing. For more information</w:t>
      </w:r>
      <w:r>
        <w:rPr>
          <w:rFonts w:ascii="Times New Roman" w:hAnsi="Times New Roman"/>
          <w:color w:val="000000" w:themeColor="text1"/>
          <w:sz w:val="24"/>
          <w:szCs w:val="24"/>
        </w:rPr>
        <w:t xml:space="preserve">, please visit </w:t>
      </w:r>
      <w:hyperlink r:id="rId8" w:history="1">
        <w:r>
          <w:rPr>
            <w:rStyle w:val="Hyperlink"/>
            <w:rFonts w:ascii="Times New Roman" w:hAnsi="Times New Roman"/>
            <w:sz w:val="24"/>
            <w:szCs w:val="24"/>
          </w:rPr>
          <w:t>www.equipmentfinanceadvantage.org/newLAR.cfm</w:t>
        </w:r>
      </w:hyperlink>
      <w:r>
        <w:rPr>
          <w:rFonts w:ascii="Times New Roman" w:hAnsi="Times New Roman"/>
          <w:sz w:val="24"/>
          <w:szCs w:val="24"/>
        </w:rPr>
        <w:t xml:space="preserve">. </w:t>
      </w:r>
    </w:p>
    <w:p w14:paraId="3A9AF6A3" w14:textId="77777777" w:rsidR="00ED7529" w:rsidRDefault="00ED7529">
      <w:pPr>
        <w:rPr>
          <w:rFonts w:ascii="Times New Roman" w:eastAsia="Times New Roman" w:hAnsi="Times New Roman"/>
          <w:sz w:val="24"/>
          <w:szCs w:val="24"/>
        </w:rPr>
      </w:pPr>
    </w:p>
    <w:p w14:paraId="65F4B0F7" w14:textId="77777777" w:rsidR="00ED7529" w:rsidRDefault="00ED7529">
      <w:pPr>
        <w:rPr>
          <w:rFonts w:ascii="Times New Roman" w:hAnsi="Times New Roman"/>
          <w:sz w:val="24"/>
          <w:szCs w:val="24"/>
        </w:rPr>
      </w:pPr>
    </w:p>
    <w:p w14:paraId="7735E731" w14:textId="77777777" w:rsidR="00ED7529" w:rsidRDefault="00A33FFE">
      <w:pP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About the author</w:t>
      </w:r>
    </w:p>
    <w:p w14:paraId="69F33F7B" w14:textId="1B071152" w:rsidR="00ED7529" w:rsidRDefault="00A33FFE">
      <w:pPr>
        <w:rPr>
          <w:rFonts w:ascii="Times New Roman" w:hAnsi="Times New Roman"/>
          <w:sz w:val="24"/>
          <w:szCs w:val="24"/>
        </w:rPr>
      </w:pPr>
      <w:r>
        <w:rPr>
          <w:rFonts w:ascii="Times New Roman" w:hAnsi="Times New Roman"/>
          <w:bCs/>
          <w:color w:val="000000" w:themeColor="text1"/>
          <w:sz w:val="24"/>
          <w:szCs w:val="24"/>
        </w:rPr>
        <w:t xml:space="preserve">Ralph Petta is the President and CEO of the </w:t>
      </w:r>
      <w:r>
        <w:rPr>
          <w:rFonts w:ascii="Times New Roman" w:hAnsi="Times New Roman"/>
          <w:color w:val="000000" w:themeColor="text1"/>
          <w:sz w:val="24"/>
          <w:szCs w:val="24"/>
        </w:rPr>
        <w:t xml:space="preserve">Equipment Leasing and Finance Association (ELFA), the trade association that represents companies in the </w:t>
      </w:r>
      <w:r w:rsidR="00241E66">
        <w:rPr>
          <w:rFonts w:ascii="Times New Roman" w:hAnsi="Times New Roman"/>
          <w:color w:val="000000" w:themeColor="text1"/>
          <w:sz w:val="24"/>
          <w:szCs w:val="24"/>
        </w:rPr>
        <w:t xml:space="preserve">nearly </w:t>
      </w:r>
      <w:r>
        <w:rPr>
          <w:rFonts w:ascii="Times New Roman" w:hAnsi="Times New Roman"/>
          <w:color w:val="000000" w:themeColor="text1"/>
          <w:sz w:val="24"/>
          <w:szCs w:val="24"/>
        </w:rPr>
        <w:t xml:space="preserve">$1 trillion equipment finance sector, which includes financial services companies and manufacturers engaged in financing capital goods. </w:t>
      </w:r>
      <w:r>
        <w:rPr>
          <w:rFonts w:ascii="Times New Roman" w:hAnsi="Times New Roman"/>
          <w:sz w:val="24"/>
          <w:szCs w:val="24"/>
        </w:rPr>
        <w:t xml:space="preserve">ELFA has been equipping business for success for more than 50 years. </w:t>
      </w:r>
      <w:r>
        <w:rPr>
          <w:rFonts w:ascii="Times New Roman" w:hAnsi="Times New Roman"/>
          <w:color w:val="000000"/>
          <w:sz w:val="24"/>
          <w:szCs w:val="24"/>
        </w:rPr>
        <w:t>For more information on equipment financing, please visit</w:t>
      </w:r>
      <w:r>
        <w:rPr>
          <w:rFonts w:ascii="Times New Roman" w:hAnsi="Times New Roman"/>
          <w:sz w:val="24"/>
          <w:szCs w:val="24"/>
        </w:rPr>
        <w:t xml:space="preserve"> </w:t>
      </w:r>
      <w:hyperlink r:id="rId9" w:history="1">
        <w:r>
          <w:rPr>
            <w:rStyle w:val="Hyperlink"/>
            <w:rFonts w:ascii="Times New Roman" w:hAnsi="Times New Roman"/>
            <w:sz w:val="24"/>
            <w:szCs w:val="24"/>
          </w:rPr>
          <w:t>www.EquipmentFinanceAdvantage.org</w:t>
        </w:r>
      </w:hyperlink>
      <w:r>
        <w:rPr>
          <w:rFonts w:ascii="Times New Roman" w:hAnsi="Times New Roman"/>
          <w:sz w:val="24"/>
          <w:szCs w:val="24"/>
        </w:rPr>
        <w:t xml:space="preserve"> and fo</w:t>
      </w:r>
      <w:r>
        <w:rPr>
          <w:rFonts w:ascii="Times New Roman" w:hAnsi="Times New Roman"/>
          <w:color w:val="000000"/>
          <w:sz w:val="24"/>
          <w:szCs w:val="24"/>
        </w:rPr>
        <w:t xml:space="preserve">llow ELFA on Twitter @elfaonline. </w:t>
      </w:r>
    </w:p>
    <w:p w14:paraId="33D7351D" w14:textId="77777777" w:rsidR="00ED7529" w:rsidRDefault="00ED7529">
      <w:pPr>
        <w:pStyle w:val="Heading1"/>
        <w:spacing w:before="0" w:after="0" w:line="240" w:lineRule="auto"/>
        <w:jc w:val="center"/>
      </w:pPr>
    </w:p>
    <w:p w14:paraId="621D74CC" w14:textId="37DC3302" w:rsidR="00ED7529" w:rsidRDefault="00A33FFE">
      <w:pPr>
        <w:spacing w:after="10" w:line="360" w:lineRule="auto"/>
        <w:rPr>
          <w:rFonts w:ascii="Times New Roman" w:hAnsi="Times New Roman"/>
          <w:sz w:val="24"/>
          <w:szCs w:val="24"/>
        </w:rPr>
      </w:pPr>
      <w:r>
        <w:rPr>
          <w:rFonts w:ascii="Times New Roman" w:hAnsi="Times New Roman"/>
          <w:sz w:val="24"/>
          <w:szCs w:val="24"/>
        </w:rPr>
        <w:t xml:space="preserve">©Equipment Leasing and Finance Association </w:t>
      </w:r>
      <w:r w:rsidR="00C07E6C">
        <w:rPr>
          <w:rFonts w:ascii="Times New Roman" w:hAnsi="Times New Roman"/>
          <w:sz w:val="24"/>
          <w:szCs w:val="24"/>
        </w:rPr>
        <w:t>2020</w:t>
      </w:r>
      <w:r>
        <w:rPr>
          <w:rFonts w:ascii="Times New Roman" w:hAnsi="Times New Roman"/>
          <w:sz w:val="24"/>
          <w:szCs w:val="24"/>
        </w:rPr>
        <w:t>. Reprinted with permission.</w:t>
      </w:r>
    </w:p>
    <w:p w14:paraId="1F169918" w14:textId="77777777" w:rsidR="00ED7529" w:rsidRDefault="00A33FFE">
      <w:pPr>
        <w:rPr>
          <w:rFonts w:ascii="Times New Roman" w:hAnsi="Times New Roman"/>
          <w:color w:val="000000" w:themeColor="text1"/>
          <w:sz w:val="24"/>
          <w:szCs w:val="24"/>
        </w:rPr>
      </w:pPr>
      <w:r>
        <w:rPr>
          <w:rFonts w:ascii="Times New Roman" w:hAnsi="Times New Roman"/>
          <w:i/>
          <w:sz w:val="24"/>
          <w:szCs w:val="24"/>
        </w:rPr>
        <w:t xml:space="preserve">Disclaimer: The information in this document is a summary only and does not constitute financial advice. Readers should obtain their own independent accounting and tax advice that </w:t>
      </w:r>
      <w:proofErr w:type="gramStart"/>
      <w:r>
        <w:rPr>
          <w:rFonts w:ascii="Times New Roman" w:hAnsi="Times New Roman"/>
          <w:i/>
          <w:sz w:val="24"/>
          <w:szCs w:val="24"/>
        </w:rPr>
        <w:t>takes into account</w:t>
      </w:r>
      <w:proofErr w:type="gramEnd"/>
      <w:r>
        <w:rPr>
          <w:rFonts w:ascii="Times New Roman" w:hAnsi="Times New Roman"/>
          <w:i/>
          <w:sz w:val="24"/>
          <w:szCs w:val="24"/>
        </w:rPr>
        <w:t xml:space="preserve"> all relevant aspects of a particular lessor’s or lessee’s business and products.</w:t>
      </w:r>
      <w:r>
        <w:rPr>
          <w:rFonts w:ascii="Times New Roman" w:hAnsi="Times New Roman"/>
          <w:color w:val="000000" w:themeColor="text1"/>
          <w:sz w:val="24"/>
          <w:szCs w:val="24"/>
        </w:rPr>
        <w:t xml:space="preserve"> </w:t>
      </w:r>
    </w:p>
    <w:p w14:paraId="40FBDF2C" w14:textId="77777777" w:rsidR="00ED7529" w:rsidRDefault="00ED7529">
      <w:pPr>
        <w:rPr>
          <w:rFonts w:ascii="Arial" w:hAnsi="Arial" w:cs="Arial"/>
          <w:sz w:val="20"/>
          <w:szCs w:val="20"/>
        </w:rPr>
      </w:pPr>
    </w:p>
    <w:p w14:paraId="19AD7055" w14:textId="77777777" w:rsidR="00ED7529" w:rsidRDefault="00ED7529">
      <w:pPr>
        <w:pStyle w:val="ListParagraph"/>
        <w:spacing w:line="360" w:lineRule="auto"/>
        <w:ind w:left="0"/>
        <w:rPr>
          <w:rFonts w:ascii="Times New Roman" w:hAnsi="Times New Roman"/>
          <w:sz w:val="24"/>
          <w:szCs w:val="24"/>
        </w:rPr>
      </w:pPr>
    </w:p>
    <w:p w14:paraId="2DBB1C16" w14:textId="77777777" w:rsidR="00ED7529" w:rsidRDefault="00ED7529">
      <w:pPr>
        <w:pStyle w:val="ListParagraph"/>
        <w:spacing w:line="360" w:lineRule="auto"/>
        <w:ind w:left="0"/>
        <w:rPr>
          <w:rFonts w:ascii="Arial" w:hAnsi="Arial" w:cs="Arial"/>
          <w:b/>
          <w:sz w:val="20"/>
          <w:szCs w:val="20"/>
        </w:rPr>
      </w:pPr>
    </w:p>
    <w:sectPr w:rsidR="00ED752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81840" w14:textId="77777777" w:rsidR="008C299A" w:rsidRDefault="008C299A">
      <w:r>
        <w:separator/>
      </w:r>
    </w:p>
  </w:endnote>
  <w:endnote w:type="continuationSeparator" w:id="0">
    <w:p w14:paraId="49850F38" w14:textId="77777777" w:rsidR="008C299A" w:rsidRDefault="008C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2853" w14:textId="77777777" w:rsidR="008C299A" w:rsidRDefault="008C299A">
      <w:r>
        <w:separator/>
      </w:r>
    </w:p>
  </w:footnote>
  <w:footnote w:type="continuationSeparator" w:id="0">
    <w:p w14:paraId="7FFA177A" w14:textId="77777777" w:rsidR="008C299A" w:rsidRDefault="008C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BA204" w14:textId="77777777" w:rsidR="00ED7529" w:rsidRDefault="00A33FFE">
    <w:pPr>
      <w:pStyle w:val="Header"/>
    </w:pPr>
    <w:r>
      <w:rPr>
        <w:noProof/>
      </w:rPr>
      <w:drawing>
        <wp:anchor distT="0" distB="0" distL="114300" distR="114300" simplePos="0" relativeHeight="251659264" behindDoc="0" locked="0" layoutInCell="1" allowOverlap="1" wp14:anchorId="4FF2F205" wp14:editId="363B7B31">
          <wp:simplePos x="0" y="0"/>
          <wp:positionH relativeFrom="column">
            <wp:posOffset>0</wp:posOffset>
          </wp:positionH>
          <wp:positionV relativeFrom="paragraph">
            <wp:posOffset>171450</wp:posOffset>
          </wp:positionV>
          <wp:extent cx="2076450" cy="771525"/>
          <wp:effectExtent l="0" t="0" r="0" b="952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E6211"/>
    <w:multiLevelType w:val="hybridMultilevel"/>
    <w:tmpl w:val="CFF8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74742"/>
    <w:multiLevelType w:val="hybridMultilevel"/>
    <w:tmpl w:val="4DD6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C2911"/>
    <w:multiLevelType w:val="hybridMultilevel"/>
    <w:tmpl w:val="6CA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29"/>
    <w:rsid w:val="00241E66"/>
    <w:rsid w:val="0064068F"/>
    <w:rsid w:val="008C299A"/>
    <w:rsid w:val="0099204E"/>
    <w:rsid w:val="00A33FFE"/>
    <w:rsid w:val="00BF70F2"/>
    <w:rsid w:val="00C07E6C"/>
    <w:rsid w:val="00CE5CDD"/>
    <w:rsid w:val="00D526E9"/>
    <w:rsid w:val="00E14BCE"/>
    <w:rsid w:val="00E51D30"/>
    <w:rsid w:val="00E80AD8"/>
    <w:rsid w:val="00ED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3623"/>
  <w15:docId w15:val="{A521806B-FF1C-4602-9E5E-EF7FC002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Times New Roman"/>
    </w:rPr>
  </w:style>
  <w:style w:type="paragraph" w:styleId="Heading1">
    <w:name w:val="heading 1"/>
    <w:basedOn w:val="Normal"/>
    <w:link w:val="Heading1Char"/>
    <w:uiPriority w:val="9"/>
    <w:qFormat/>
    <w:pPr>
      <w:keepNext/>
      <w:spacing w:before="240" w:after="60" w:line="360" w:lineRule="auto"/>
      <w:ind w:firstLine="720"/>
      <w:outlineLvl w:val="0"/>
    </w:pPr>
    <w:rPr>
      <w:rFonts w:ascii="Times New Roman" w:eastAsia="Calibri" w:hAnsi="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Times New Roman"/>
    </w:rPr>
  </w:style>
  <w:style w:type="character" w:customStyle="1" w:styleId="Heading1Char">
    <w:name w:val="Heading 1 Char"/>
    <w:basedOn w:val="DefaultParagraphFont"/>
    <w:link w:val="Heading1"/>
    <w:uiPriority w:val="9"/>
    <w:rPr>
      <w:rFonts w:ascii="Times New Roman" w:eastAsia="Calibri" w:hAnsi="Times New Roman" w:cs="Times New Roman"/>
      <w:b/>
      <w:bCs/>
      <w:kern w:val="36"/>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rPr>
  </w:style>
  <w:style w:type="paragraph" w:styleId="Revision">
    <w:name w:val="Revision"/>
    <w:hidden/>
    <w:uiPriority w:val="99"/>
    <w:semiHidden/>
    <w:rPr>
      <w:rFonts w:ascii="Calibri" w:hAnsi="Calibri" w:cs="Times New Roman"/>
    </w:rPr>
  </w:style>
  <w:style w:type="character" w:styleId="Emphasis">
    <w:name w:val="Emphasis"/>
    <w:basedOn w:val="DefaultParagraphFont"/>
    <w:uiPriority w:val="20"/>
    <w:qFormat/>
    <w:rPr>
      <w:i/>
      <w:iCs/>
    </w:rPr>
  </w:style>
  <w:style w:type="paragraph" w:styleId="NormalWeb">
    <w:name w:val="Normal (Web)"/>
    <w:basedOn w:val="Normal"/>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59239">
      <w:bodyDiv w:val="1"/>
      <w:marLeft w:val="0"/>
      <w:marRight w:val="0"/>
      <w:marTop w:val="0"/>
      <w:marBottom w:val="0"/>
      <w:divBdr>
        <w:top w:val="none" w:sz="0" w:space="0" w:color="auto"/>
        <w:left w:val="none" w:sz="0" w:space="0" w:color="auto"/>
        <w:bottom w:val="none" w:sz="0" w:space="0" w:color="auto"/>
        <w:right w:val="none" w:sz="0" w:space="0" w:color="auto"/>
      </w:divBdr>
      <w:divsChild>
        <w:div w:id="597716199">
          <w:marLeft w:val="0"/>
          <w:marRight w:val="0"/>
          <w:marTop w:val="0"/>
          <w:marBottom w:val="0"/>
          <w:divBdr>
            <w:top w:val="none" w:sz="0" w:space="0" w:color="auto"/>
            <w:left w:val="none" w:sz="0" w:space="0" w:color="auto"/>
            <w:bottom w:val="none" w:sz="0" w:space="0" w:color="auto"/>
            <w:right w:val="none" w:sz="0" w:space="0" w:color="auto"/>
          </w:divBdr>
        </w:div>
      </w:divsChild>
    </w:div>
    <w:div w:id="1100563874">
      <w:bodyDiv w:val="1"/>
      <w:marLeft w:val="0"/>
      <w:marRight w:val="0"/>
      <w:marTop w:val="0"/>
      <w:marBottom w:val="0"/>
      <w:divBdr>
        <w:top w:val="none" w:sz="0" w:space="0" w:color="auto"/>
        <w:left w:val="none" w:sz="0" w:space="0" w:color="auto"/>
        <w:bottom w:val="none" w:sz="0" w:space="0" w:color="auto"/>
        <w:right w:val="none" w:sz="0" w:space="0" w:color="auto"/>
      </w:divBdr>
    </w:div>
    <w:div w:id="1452898767">
      <w:bodyDiv w:val="1"/>
      <w:marLeft w:val="0"/>
      <w:marRight w:val="0"/>
      <w:marTop w:val="0"/>
      <w:marBottom w:val="0"/>
      <w:divBdr>
        <w:top w:val="none" w:sz="0" w:space="0" w:color="auto"/>
        <w:left w:val="none" w:sz="0" w:space="0" w:color="auto"/>
        <w:bottom w:val="none" w:sz="0" w:space="0" w:color="auto"/>
        <w:right w:val="none" w:sz="0" w:space="0" w:color="auto"/>
      </w:divBdr>
      <w:divsChild>
        <w:div w:id="1640066888">
          <w:marLeft w:val="0"/>
          <w:marRight w:val="0"/>
          <w:marTop w:val="0"/>
          <w:marBottom w:val="0"/>
          <w:divBdr>
            <w:top w:val="none" w:sz="0" w:space="0" w:color="auto"/>
            <w:left w:val="none" w:sz="0" w:space="0" w:color="auto"/>
            <w:bottom w:val="none" w:sz="0" w:space="0" w:color="auto"/>
            <w:right w:val="none" w:sz="0" w:space="0" w:color="auto"/>
          </w:divBdr>
        </w:div>
      </w:divsChild>
    </w:div>
    <w:div w:id="1746100115">
      <w:bodyDiv w:val="1"/>
      <w:marLeft w:val="0"/>
      <w:marRight w:val="0"/>
      <w:marTop w:val="0"/>
      <w:marBottom w:val="0"/>
      <w:divBdr>
        <w:top w:val="none" w:sz="0" w:space="0" w:color="auto"/>
        <w:left w:val="none" w:sz="0" w:space="0" w:color="auto"/>
        <w:bottom w:val="none" w:sz="0" w:space="0" w:color="auto"/>
        <w:right w:val="none" w:sz="0" w:space="0" w:color="auto"/>
      </w:divBdr>
      <w:divsChild>
        <w:div w:id="81568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entfinanceadvantage.org/newLAR.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quipmentFinanceAdvantag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FDFC-46DB-4536-BE69-67C46B17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Johnson</dc:creator>
  <cp:lastModifiedBy>Diane Johnson</cp:lastModifiedBy>
  <cp:revision>2</cp:revision>
  <dcterms:created xsi:type="dcterms:W3CDTF">2020-09-14T15:40:00Z</dcterms:created>
  <dcterms:modified xsi:type="dcterms:W3CDTF">2020-09-14T15:40:00Z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-300975646</vt:i4>
  </property>
  <property fmtid="{D5CDD505-2E9C-101B-9397-08002B2CF9AE}" pid="4" name="_EmailSubject">
    <vt:lpwstr>Bloomberg Tax Contributed Article</vt:lpwstr>
  </property>
  <property fmtid="{D5CDD505-2E9C-101B-9397-08002B2CF9AE}" pid="5" name="_AuthorEmail">
    <vt:lpwstr>joseph.sebik@siemens.com</vt:lpwstr>
  </property>
  <property fmtid="{D5CDD505-2E9C-101B-9397-08002B2CF9AE}" pid="6" name="_AuthorEmailDisplayName">
    <vt:lpwstr>Sebik, Joseph (CF T RC-US CORP SFS)</vt:lpwstr>
  </property>
  <property fmtid="{D5CDD505-2E9C-101B-9397-08002B2CF9AE}" pid="7" name="_ReviewingToolsShownOnce">
    <vt:lpwstr/>
  </property>
</Properties>
</file>